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5000" w:type="pct"/>
        <w:tblLook w:val="04A0" w:firstRow="1" w:lastRow="0" w:firstColumn="1" w:lastColumn="0" w:noHBand="0" w:noVBand="1"/>
      </w:tblPr>
      <w:tblGrid>
        <w:gridCol w:w="671"/>
        <w:gridCol w:w="2019"/>
        <w:gridCol w:w="1654"/>
        <w:gridCol w:w="3313"/>
        <w:gridCol w:w="1112"/>
        <w:gridCol w:w="1112"/>
        <w:gridCol w:w="959"/>
        <w:gridCol w:w="1179"/>
        <w:gridCol w:w="941"/>
      </w:tblGrid>
      <w:tr w:rsidR="00EC2A36" w:rsidRPr="002F2C1D" w14:paraId="13854152" w14:textId="77777777" w:rsidTr="00EC2A36">
        <w:trPr>
          <w:trHeight w:val="792"/>
        </w:trPr>
        <w:tc>
          <w:tcPr>
            <w:tcW w:w="5000" w:type="pct"/>
            <w:gridSpan w:val="9"/>
            <w:tcBorders>
              <w:top w:val="nil"/>
              <w:left w:val="nil"/>
              <w:right w:val="nil"/>
            </w:tcBorders>
          </w:tcPr>
          <w:p w14:paraId="6E0611C0" w14:textId="77777777" w:rsidR="00EC2A36" w:rsidRDefault="00895A29" w:rsidP="00200038">
            <w:pPr>
              <w:spacing w:before="60" w:after="60"/>
              <w:jc w:val="center"/>
              <w:rPr>
                <w:rFonts w:eastAsia="Times New Roman"/>
                <w:b/>
                <w:sz w:val="24"/>
                <w:szCs w:val="24"/>
              </w:rPr>
            </w:pPr>
            <w:r>
              <w:rPr>
                <w:rFonts w:eastAsia="Times New Roman"/>
                <w:b/>
                <w:sz w:val="24"/>
                <w:szCs w:val="24"/>
              </w:rPr>
              <w:t>PHỤ LỤC</w:t>
            </w:r>
          </w:p>
          <w:p w14:paraId="4502B276" w14:textId="6CFB3594" w:rsidR="00AB3C4D" w:rsidRPr="00CF7518" w:rsidRDefault="00AB3C4D" w:rsidP="00200038">
            <w:pPr>
              <w:spacing w:before="60" w:after="60"/>
              <w:jc w:val="center"/>
              <w:rPr>
                <w:rFonts w:eastAsia="Times New Roman"/>
                <w:b/>
                <w:sz w:val="24"/>
                <w:szCs w:val="24"/>
              </w:rPr>
            </w:pPr>
            <w:r>
              <w:rPr>
                <w:rFonts w:eastAsia="Times New Roman"/>
                <w:b/>
                <w:sz w:val="24"/>
                <w:szCs w:val="24"/>
              </w:rPr>
              <w:t xml:space="preserve">CÁC DỰ ÁN, CÔNG TRÌNH </w:t>
            </w:r>
            <w:r w:rsidR="003E4740">
              <w:rPr>
                <w:rFonts w:eastAsia="Times New Roman"/>
                <w:b/>
                <w:sz w:val="24"/>
                <w:szCs w:val="24"/>
              </w:rPr>
              <w:t>THUỘC DANH MỤC DỰ ÁN ƯU TIÊN</w:t>
            </w:r>
          </w:p>
        </w:tc>
      </w:tr>
      <w:tr w:rsidR="006F323A" w:rsidRPr="006F323A" w14:paraId="01C33DD6" w14:textId="77777777" w:rsidTr="00895A29">
        <w:tc>
          <w:tcPr>
            <w:tcW w:w="259" w:type="pct"/>
            <w:tcBorders>
              <w:top w:val="single" w:sz="4" w:space="0" w:color="auto"/>
            </w:tcBorders>
            <w:vAlign w:val="center"/>
          </w:tcPr>
          <w:p w14:paraId="2A41BB2E" w14:textId="752F5096" w:rsidR="006F323A" w:rsidRPr="006F323A" w:rsidRDefault="006F323A" w:rsidP="00895A29">
            <w:pPr>
              <w:pStyle w:val="Bodytex"/>
              <w:spacing w:before="60" w:after="60"/>
              <w:ind w:firstLine="0"/>
              <w:jc w:val="center"/>
              <w:rPr>
                <w:b/>
                <w:sz w:val="24"/>
                <w:szCs w:val="24"/>
              </w:rPr>
            </w:pPr>
            <w:r w:rsidRPr="006F323A">
              <w:rPr>
                <w:b/>
                <w:sz w:val="24"/>
                <w:szCs w:val="24"/>
              </w:rPr>
              <w:t>STT</w:t>
            </w:r>
          </w:p>
        </w:tc>
        <w:tc>
          <w:tcPr>
            <w:tcW w:w="779" w:type="pct"/>
            <w:tcBorders>
              <w:top w:val="single" w:sz="4" w:space="0" w:color="auto"/>
            </w:tcBorders>
            <w:vAlign w:val="center"/>
          </w:tcPr>
          <w:p w14:paraId="36B6AC21" w14:textId="333392CA"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Danh mục</w:t>
            </w:r>
          </w:p>
        </w:tc>
        <w:tc>
          <w:tcPr>
            <w:tcW w:w="638" w:type="pct"/>
            <w:tcBorders>
              <w:top w:val="single" w:sz="4" w:space="0" w:color="auto"/>
            </w:tcBorders>
            <w:vAlign w:val="center"/>
          </w:tcPr>
          <w:p w14:paraId="18F62E5B" w14:textId="5C931271"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Địa điểm</w:t>
            </w:r>
          </w:p>
        </w:tc>
        <w:tc>
          <w:tcPr>
            <w:tcW w:w="1278" w:type="pct"/>
            <w:tcBorders>
              <w:top w:val="single" w:sz="4" w:space="0" w:color="auto"/>
            </w:tcBorders>
            <w:vAlign w:val="center"/>
          </w:tcPr>
          <w:p w14:paraId="375D0DA9" w14:textId="113768B2" w:rsidR="006F323A" w:rsidRPr="006F323A" w:rsidRDefault="006F323A" w:rsidP="00895A29">
            <w:pPr>
              <w:spacing w:before="60" w:after="60"/>
              <w:jc w:val="center"/>
              <w:rPr>
                <w:b/>
                <w:sz w:val="24"/>
                <w:szCs w:val="24"/>
              </w:rPr>
            </w:pPr>
            <w:r w:rsidRPr="006F323A">
              <w:rPr>
                <w:b/>
                <w:sz w:val="24"/>
                <w:szCs w:val="24"/>
              </w:rPr>
              <w:t>Quy mô</w:t>
            </w:r>
          </w:p>
        </w:tc>
        <w:tc>
          <w:tcPr>
            <w:tcW w:w="429" w:type="pct"/>
            <w:tcBorders>
              <w:top w:val="single" w:sz="4" w:space="0" w:color="auto"/>
            </w:tcBorders>
            <w:vAlign w:val="center"/>
          </w:tcPr>
          <w:p w14:paraId="07E1D381" w14:textId="15B840DE" w:rsidR="006F323A" w:rsidRPr="006F323A" w:rsidRDefault="006F323A" w:rsidP="00895A29">
            <w:pPr>
              <w:spacing w:before="60" w:after="60"/>
              <w:jc w:val="center"/>
              <w:rPr>
                <w:rFonts w:eastAsia="Times New Roman"/>
                <w:b/>
                <w:bCs/>
                <w:sz w:val="24"/>
                <w:szCs w:val="24"/>
              </w:rPr>
            </w:pPr>
            <w:r w:rsidRPr="006F323A">
              <w:rPr>
                <w:rFonts w:eastAsia="Times New Roman"/>
                <w:b/>
                <w:bCs/>
                <w:sz w:val="24"/>
                <w:szCs w:val="24"/>
              </w:rPr>
              <w:t>Tổng mức đầu tư</w:t>
            </w:r>
          </w:p>
        </w:tc>
        <w:tc>
          <w:tcPr>
            <w:tcW w:w="429" w:type="pct"/>
            <w:tcBorders>
              <w:top w:val="single" w:sz="4" w:space="0" w:color="auto"/>
            </w:tcBorders>
            <w:vAlign w:val="center"/>
          </w:tcPr>
          <w:p w14:paraId="7D7BBDCC" w14:textId="589D5412"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Phân kỳ</w:t>
            </w:r>
          </w:p>
        </w:tc>
        <w:tc>
          <w:tcPr>
            <w:tcW w:w="370" w:type="pct"/>
            <w:tcBorders>
              <w:top w:val="single" w:sz="4" w:space="0" w:color="auto"/>
            </w:tcBorders>
            <w:vAlign w:val="center"/>
          </w:tcPr>
          <w:p w14:paraId="0F2D3552" w14:textId="26AF250F"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Vốn đầu tư công</w:t>
            </w:r>
          </w:p>
        </w:tc>
        <w:tc>
          <w:tcPr>
            <w:tcW w:w="455" w:type="pct"/>
            <w:tcBorders>
              <w:top w:val="single" w:sz="4" w:space="0" w:color="auto"/>
            </w:tcBorders>
            <w:vAlign w:val="center"/>
          </w:tcPr>
          <w:p w14:paraId="282D8738" w14:textId="77777777"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Vốn sự nghiệp</w:t>
            </w:r>
          </w:p>
          <w:p w14:paraId="54634828" w14:textId="77777777" w:rsidR="006F323A" w:rsidRPr="006F323A" w:rsidRDefault="006F323A" w:rsidP="00895A29">
            <w:pPr>
              <w:spacing w:before="60" w:after="60"/>
              <w:jc w:val="center"/>
              <w:rPr>
                <w:rFonts w:eastAsia="Times New Roman"/>
                <w:b/>
                <w:sz w:val="24"/>
                <w:szCs w:val="24"/>
              </w:rPr>
            </w:pPr>
          </w:p>
        </w:tc>
        <w:tc>
          <w:tcPr>
            <w:tcW w:w="363" w:type="pct"/>
            <w:tcBorders>
              <w:top w:val="single" w:sz="4" w:space="0" w:color="auto"/>
            </w:tcBorders>
            <w:vAlign w:val="center"/>
          </w:tcPr>
          <w:p w14:paraId="7FD3F74D" w14:textId="75A92FDB" w:rsidR="006F323A" w:rsidRPr="006F323A" w:rsidRDefault="006F323A" w:rsidP="00895A29">
            <w:pPr>
              <w:spacing w:before="60" w:after="60"/>
              <w:jc w:val="center"/>
              <w:rPr>
                <w:rFonts w:eastAsia="Times New Roman"/>
                <w:b/>
                <w:sz w:val="24"/>
                <w:szCs w:val="24"/>
              </w:rPr>
            </w:pPr>
            <w:r w:rsidRPr="006F323A">
              <w:rPr>
                <w:rFonts w:eastAsia="Times New Roman"/>
                <w:b/>
                <w:sz w:val="24"/>
                <w:szCs w:val="24"/>
              </w:rPr>
              <w:t>Ghi chú</w:t>
            </w:r>
          </w:p>
        </w:tc>
      </w:tr>
      <w:tr w:rsidR="006F323A" w:rsidRPr="006F323A" w14:paraId="55DE4501" w14:textId="77777777" w:rsidTr="00EC2A36">
        <w:trPr>
          <w:trHeight w:val="499"/>
        </w:trPr>
        <w:tc>
          <w:tcPr>
            <w:tcW w:w="259" w:type="pct"/>
          </w:tcPr>
          <w:p w14:paraId="0B9FD1B5" w14:textId="0A17E9DD" w:rsidR="006F323A" w:rsidRPr="006F323A" w:rsidRDefault="006F323A" w:rsidP="006F323A">
            <w:pPr>
              <w:spacing w:before="60" w:after="60"/>
              <w:jc w:val="center"/>
              <w:rPr>
                <w:b/>
                <w:sz w:val="24"/>
                <w:szCs w:val="24"/>
              </w:rPr>
            </w:pPr>
          </w:p>
        </w:tc>
        <w:tc>
          <w:tcPr>
            <w:tcW w:w="779" w:type="pct"/>
          </w:tcPr>
          <w:p w14:paraId="0D3CBE49" w14:textId="77777777" w:rsidR="006F323A" w:rsidRPr="006F323A" w:rsidRDefault="006F323A" w:rsidP="006F323A">
            <w:pPr>
              <w:spacing w:before="60" w:after="60"/>
              <w:jc w:val="both"/>
              <w:rPr>
                <w:b/>
                <w:sz w:val="24"/>
                <w:szCs w:val="24"/>
              </w:rPr>
            </w:pPr>
            <w:r w:rsidRPr="006F323A">
              <w:rPr>
                <w:b/>
                <w:sz w:val="24"/>
                <w:szCs w:val="24"/>
              </w:rPr>
              <w:t>LĨNH VỰC THỦY LỢI</w:t>
            </w:r>
          </w:p>
        </w:tc>
        <w:tc>
          <w:tcPr>
            <w:tcW w:w="638" w:type="pct"/>
          </w:tcPr>
          <w:p w14:paraId="6E5CAC77" w14:textId="77777777" w:rsidR="006F323A" w:rsidRPr="006F323A" w:rsidRDefault="006F323A" w:rsidP="006F323A">
            <w:pPr>
              <w:spacing w:before="60" w:after="60"/>
              <w:jc w:val="center"/>
              <w:rPr>
                <w:b/>
                <w:sz w:val="24"/>
                <w:szCs w:val="24"/>
              </w:rPr>
            </w:pPr>
          </w:p>
        </w:tc>
        <w:tc>
          <w:tcPr>
            <w:tcW w:w="1278" w:type="pct"/>
          </w:tcPr>
          <w:p w14:paraId="7451490A" w14:textId="77777777" w:rsidR="006F323A" w:rsidRPr="006F323A" w:rsidRDefault="006F323A" w:rsidP="006F323A">
            <w:pPr>
              <w:spacing w:before="60" w:after="60"/>
              <w:jc w:val="both"/>
              <w:rPr>
                <w:b/>
                <w:sz w:val="24"/>
                <w:szCs w:val="24"/>
              </w:rPr>
            </w:pPr>
          </w:p>
        </w:tc>
        <w:tc>
          <w:tcPr>
            <w:tcW w:w="429" w:type="pct"/>
          </w:tcPr>
          <w:p w14:paraId="6D6BEF8E" w14:textId="77777777" w:rsidR="006F323A" w:rsidRPr="006F323A" w:rsidRDefault="006F323A" w:rsidP="006F323A">
            <w:pPr>
              <w:spacing w:before="60" w:after="60"/>
              <w:jc w:val="center"/>
              <w:rPr>
                <w:b/>
                <w:sz w:val="24"/>
                <w:szCs w:val="24"/>
              </w:rPr>
            </w:pPr>
            <w:r w:rsidRPr="006F323A">
              <w:rPr>
                <w:b/>
                <w:sz w:val="24"/>
                <w:szCs w:val="24"/>
              </w:rPr>
              <w:t>9.229</w:t>
            </w:r>
          </w:p>
        </w:tc>
        <w:tc>
          <w:tcPr>
            <w:tcW w:w="429" w:type="pct"/>
          </w:tcPr>
          <w:p w14:paraId="60D1FC37" w14:textId="77777777" w:rsidR="006F323A" w:rsidRPr="006F323A" w:rsidRDefault="006F323A" w:rsidP="006F323A">
            <w:pPr>
              <w:spacing w:before="60" w:after="60"/>
              <w:jc w:val="center"/>
              <w:rPr>
                <w:sz w:val="24"/>
                <w:szCs w:val="24"/>
              </w:rPr>
            </w:pPr>
          </w:p>
        </w:tc>
        <w:tc>
          <w:tcPr>
            <w:tcW w:w="370" w:type="pct"/>
          </w:tcPr>
          <w:p w14:paraId="72C5BDE4" w14:textId="77777777" w:rsidR="006F323A" w:rsidRPr="006F323A" w:rsidRDefault="006F323A" w:rsidP="006F323A">
            <w:pPr>
              <w:spacing w:before="60" w:after="60"/>
              <w:jc w:val="center"/>
              <w:rPr>
                <w:b/>
                <w:sz w:val="24"/>
                <w:szCs w:val="24"/>
              </w:rPr>
            </w:pPr>
            <w:r w:rsidRPr="006F323A">
              <w:rPr>
                <w:b/>
                <w:sz w:val="24"/>
                <w:szCs w:val="24"/>
              </w:rPr>
              <w:t>9.229</w:t>
            </w:r>
          </w:p>
        </w:tc>
        <w:tc>
          <w:tcPr>
            <w:tcW w:w="455" w:type="pct"/>
          </w:tcPr>
          <w:p w14:paraId="2712D3F5" w14:textId="77777777" w:rsidR="006F323A" w:rsidRPr="006F323A" w:rsidRDefault="006F323A" w:rsidP="006F323A">
            <w:pPr>
              <w:spacing w:before="60" w:after="60"/>
              <w:jc w:val="center"/>
              <w:rPr>
                <w:b/>
                <w:sz w:val="24"/>
                <w:szCs w:val="24"/>
              </w:rPr>
            </w:pPr>
            <w:r w:rsidRPr="006F323A">
              <w:rPr>
                <w:b/>
                <w:sz w:val="24"/>
                <w:szCs w:val="24"/>
              </w:rPr>
              <w:t>-</w:t>
            </w:r>
          </w:p>
        </w:tc>
        <w:tc>
          <w:tcPr>
            <w:tcW w:w="363" w:type="pct"/>
          </w:tcPr>
          <w:p w14:paraId="185A28DC" w14:textId="77777777" w:rsidR="006F323A" w:rsidRPr="006F323A" w:rsidRDefault="006F323A" w:rsidP="006F323A">
            <w:pPr>
              <w:spacing w:before="60" w:after="60"/>
              <w:jc w:val="center"/>
              <w:rPr>
                <w:b/>
                <w:sz w:val="24"/>
                <w:szCs w:val="24"/>
              </w:rPr>
            </w:pPr>
            <w:r w:rsidRPr="006F323A">
              <w:rPr>
                <w:b/>
                <w:sz w:val="24"/>
                <w:szCs w:val="24"/>
              </w:rPr>
              <w:t>-</w:t>
            </w:r>
          </w:p>
        </w:tc>
      </w:tr>
      <w:tr w:rsidR="006F323A" w:rsidRPr="006F323A" w14:paraId="4C58E52C" w14:textId="77777777" w:rsidTr="00EC2A36">
        <w:tc>
          <w:tcPr>
            <w:tcW w:w="259" w:type="pct"/>
          </w:tcPr>
          <w:p w14:paraId="5C079468" w14:textId="26449F2A" w:rsidR="006F323A" w:rsidRPr="006F323A" w:rsidRDefault="004829F5" w:rsidP="006F323A">
            <w:pPr>
              <w:spacing w:before="60" w:after="60"/>
              <w:jc w:val="center"/>
              <w:rPr>
                <w:sz w:val="24"/>
                <w:szCs w:val="24"/>
              </w:rPr>
            </w:pPr>
            <w:r>
              <w:rPr>
                <w:sz w:val="24"/>
                <w:szCs w:val="24"/>
              </w:rPr>
              <w:t>1</w:t>
            </w:r>
          </w:p>
        </w:tc>
        <w:tc>
          <w:tcPr>
            <w:tcW w:w="779" w:type="pct"/>
          </w:tcPr>
          <w:p w14:paraId="29D536EB" w14:textId="77777777" w:rsidR="006F323A" w:rsidRPr="006F323A" w:rsidRDefault="006F323A" w:rsidP="006F323A">
            <w:pPr>
              <w:spacing w:before="60" w:after="60"/>
              <w:jc w:val="both"/>
              <w:rPr>
                <w:sz w:val="24"/>
                <w:szCs w:val="24"/>
              </w:rPr>
            </w:pPr>
            <w:r w:rsidRPr="006F323A">
              <w:rPr>
                <w:rFonts w:eastAsia="Times New Roman"/>
                <w:sz w:val="24"/>
                <w:szCs w:val="24"/>
              </w:rPr>
              <w:t xml:space="preserve">Xây dựng kè chống sạt lở sông Mái Dầm (đoạn từ ngã ba Trạm y tế đến UBND xã Đông Phước và đoạn từ cầu BOT đến Vàm kênh Cái </w:t>
            </w:r>
            <w:proofErr w:type="spellStart"/>
            <w:r w:rsidRPr="006F323A">
              <w:rPr>
                <w:rFonts w:eastAsia="Times New Roman"/>
                <w:sz w:val="24"/>
                <w:szCs w:val="24"/>
              </w:rPr>
              <w:t>Muồng</w:t>
            </w:r>
            <w:proofErr w:type="spellEnd"/>
            <w:r w:rsidRPr="006F323A">
              <w:rPr>
                <w:rFonts w:eastAsia="Times New Roman"/>
                <w:sz w:val="24"/>
                <w:szCs w:val="24"/>
              </w:rPr>
              <w:t xml:space="preserve"> Cụt, huyện Châu Thành)</w:t>
            </w:r>
          </w:p>
        </w:tc>
        <w:tc>
          <w:tcPr>
            <w:tcW w:w="638" w:type="pct"/>
          </w:tcPr>
          <w:p w14:paraId="73A8A6BE" w14:textId="77777777" w:rsidR="006F323A" w:rsidRPr="006F323A" w:rsidRDefault="006F323A" w:rsidP="006F323A">
            <w:pPr>
              <w:spacing w:before="60" w:after="60"/>
              <w:jc w:val="center"/>
              <w:rPr>
                <w:sz w:val="24"/>
                <w:szCs w:val="24"/>
              </w:rPr>
            </w:pPr>
            <w:r w:rsidRPr="006F323A">
              <w:rPr>
                <w:rFonts w:eastAsia="Times New Roman"/>
                <w:sz w:val="24"/>
                <w:szCs w:val="24"/>
              </w:rPr>
              <w:t>Huyện Châu Thành</w:t>
            </w:r>
          </w:p>
        </w:tc>
        <w:tc>
          <w:tcPr>
            <w:tcW w:w="1278" w:type="pct"/>
          </w:tcPr>
          <w:p w14:paraId="2811AAE8" w14:textId="77777777" w:rsidR="006F323A" w:rsidRPr="006F323A" w:rsidRDefault="006F323A" w:rsidP="006F323A">
            <w:pPr>
              <w:spacing w:before="60" w:after="60"/>
              <w:jc w:val="both"/>
              <w:rPr>
                <w:sz w:val="24"/>
                <w:szCs w:val="24"/>
              </w:rPr>
            </w:pPr>
            <w:r w:rsidRPr="006F323A">
              <w:rPr>
                <w:rFonts w:eastAsia="Times New Roman"/>
                <w:sz w:val="24"/>
                <w:szCs w:val="24"/>
              </w:rPr>
              <w:t>Dài khoảng 910m</w:t>
            </w:r>
          </w:p>
        </w:tc>
        <w:tc>
          <w:tcPr>
            <w:tcW w:w="429" w:type="pct"/>
          </w:tcPr>
          <w:p w14:paraId="48D63EB4" w14:textId="77777777" w:rsidR="006F323A" w:rsidRPr="006F323A" w:rsidRDefault="006F323A" w:rsidP="006F323A">
            <w:pPr>
              <w:spacing w:before="60" w:after="60"/>
              <w:jc w:val="center"/>
              <w:rPr>
                <w:sz w:val="24"/>
                <w:szCs w:val="24"/>
              </w:rPr>
            </w:pPr>
            <w:r w:rsidRPr="006F323A">
              <w:rPr>
                <w:rFonts w:eastAsia="Times New Roman"/>
                <w:sz w:val="24"/>
                <w:szCs w:val="24"/>
              </w:rPr>
              <w:t>70</w:t>
            </w:r>
          </w:p>
        </w:tc>
        <w:tc>
          <w:tcPr>
            <w:tcW w:w="429" w:type="pct"/>
          </w:tcPr>
          <w:p w14:paraId="5E30509D" w14:textId="77777777" w:rsidR="006F323A" w:rsidRPr="006F323A" w:rsidRDefault="006F323A" w:rsidP="006F323A">
            <w:pPr>
              <w:spacing w:before="60" w:after="60"/>
              <w:rPr>
                <w:sz w:val="24"/>
                <w:szCs w:val="24"/>
              </w:rPr>
            </w:pPr>
            <w:r w:rsidRPr="006F323A">
              <w:rPr>
                <w:sz w:val="24"/>
                <w:szCs w:val="24"/>
              </w:rPr>
              <w:t>2021-2025</w:t>
            </w:r>
          </w:p>
        </w:tc>
        <w:tc>
          <w:tcPr>
            <w:tcW w:w="370" w:type="pct"/>
          </w:tcPr>
          <w:p w14:paraId="7E916CF9" w14:textId="77777777" w:rsidR="006F323A" w:rsidRPr="006F323A" w:rsidRDefault="006F323A" w:rsidP="006F323A">
            <w:pPr>
              <w:spacing w:before="60" w:after="60"/>
              <w:jc w:val="center"/>
              <w:rPr>
                <w:sz w:val="24"/>
                <w:szCs w:val="24"/>
              </w:rPr>
            </w:pPr>
            <w:r w:rsidRPr="006F323A">
              <w:rPr>
                <w:sz w:val="24"/>
                <w:szCs w:val="24"/>
              </w:rPr>
              <w:t>70</w:t>
            </w:r>
          </w:p>
        </w:tc>
        <w:tc>
          <w:tcPr>
            <w:tcW w:w="455" w:type="pct"/>
          </w:tcPr>
          <w:p w14:paraId="2C0E99C6" w14:textId="77777777" w:rsidR="006F323A" w:rsidRPr="006F323A" w:rsidRDefault="006F323A" w:rsidP="006F323A">
            <w:pPr>
              <w:spacing w:before="60" w:after="60"/>
              <w:jc w:val="center"/>
              <w:rPr>
                <w:sz w:val="24"/>
                <w:szCs w:val="24"/>
              </w:rPr>
            </w:pPr>
            <w:r w:rsidRPr="006F323A">
              <w:rPr>
                <w:sz w:val="24"/>
                <w:szCs w:val="24"/>
              </w:rPr>
              <w:t>-</w:t>
            </w:r>
          </w:p>
        </w:tc>
        <w:tc>
          <w:tcPr>
            <w:tcW w:w="363" w:type="pct"/>
          </w:tcPr>
          <w:p w14:paraId="472E0A96" w14:textId="77777777" w:rsidR="006F323A" w:rsidRPr="006F323A" w:rsidRDefault="006F323A" w:rsidP="006F323A">
            <w:pPr>
              <w:spacing w:before="60" w:after="60"/>
              <w:jc w:val="center"/>
              <w:rPr>
                <w:sz w:val="24"/>
                <w:szCs w:val="24"/>
              </w:rPr>
            </w:pPr>
            <w:r w:rsidRPr="006F323A">
              <w:rPr>
                <w:sz w:val="24"/>
                <w:szCs w:val="24"/>
              </w:rPr>
              <w:t>Đầu tư công (đã bố trí vốn)</w:t>
            </w:r>
          </w:p>
        </w:tc>
      </w:tr>
      <w:tr w:rsidR="006F323A" w:rsidRPr="006F323A" w14:paraId="137C644C" w14:textId="77777777" w:rsidTr="00EC2A36">
        <w:tc>
          <w:tcPr>
            <w:tcW w:w="259" w:type="pct"/>
          </w:tcPr>
          <w:p w14:paraId="095CAA2C" w14:textId="281A46AD" w:rsidR="006F323A" w:rsidRPr="006F323A" w:rsidRDefault="00AF4A44" w:rsidP="006F323A">
            <w:pPr>
              <w:spacing w:before="60" w:after="60"/>
              <w:jc w:val="center"/>
              <w:rPr>
                <w:sz w:val="24"/>
                <w:szCs w:val="24"/>
              </w:rPr>
            </w:pPr>
            <w:r>
              <w:rPr>
                <w:sz w:val="24"/>
                <w:szCs w:val="24"/>
              </w:rPr>
              <w:t>2</w:t>
            </w:r>
          </w:p>
        </w:tc>
        <w:tc>
          <w:tcPr>
            <w:tcW w:w="779" w:type="pct"/>
          </w:tcPr>
          <w:p w14:paraId="42F8FDA7" w14:textId="77777777" w:rsidR="006F323A" w:rsidRPr="006F323A" w:rsidRDefault="006F323A" w:rsidP="006F323A">
            <w:pPr>
              <w:spacing w:before="60" w:after="60"/>
              <w:jc w:val="both"/>
              <w:rPr>
                <w:sz w:val="24"/>
                <w:szCs w:val="24"/>
              </w:rPr>
            </w:pPr>
            <w:r w:rsidRPr="006F323A">
              <w:rPr>
                <w:rFonts w:eastAsia="Times New Roman"/>
                <w:sz w:val="24"/>
                <w:szCs w:val="24"/>
              </w:rPr>
              <w:t>Xây dựng kè chống sạt lở thị trấn Cây Dương, huyện Phụng Hiệp, tỉnh Hậu Giang</w:t>
            </w:r>
          </w:p>
        </w:tc>
        <w:tc>
          <w:tcPr>
            <w:tcW w:w="638" w:type="pct"/>
          </w:tcPr>
          <w:p w14:paraId="6527B4D3" w14:textId="77777777" w:rsidR="006F323A" w:rsidRPr="006F323A" w:rsidRDefault="006F323A" w:rsidP="006F323A">
            <w:pPr>
              <w:spacing w:before="60" w:after="60"/>
              <w:jc w:val="center"/>
              <w:rPr>
                <w:sz w:val="24"/>
                <w:szCs w:val="24"/>
              </w:rPr>
            </w:pPr>
            <w:r w:rsidRPr="006F323A">
              <w:rPr>
                <w:rFonts w:eastAsia="Times New Roman"/>
                <w:sz w:val="24"/>
                <w:szCs w:val="24"/>
              </w:rPr>
              <w:t>Huyện Phụng Hiệp</w:t>
            </w:r>
          </w:p>
        </w:tc>
        <w:tc>
          <w:tcPr>
            <w:tcW w:w="1278" w:type="pct"/>
          </w:tcPr>
          <w:p w14:paraId="3F50F598" w14:textId="77777777" w:rsidR="006F323A" w:rsidRPr="006F323A" w:rsidRDefault="006F323A" w:rsidP="006F323A">
            <w:pPr>
              <w:spacing w:before="60" w:after="60"/>
              <w:jc w:val="both"/>
              <w:rPr>
                <w:sz w:val="24"/>
                <w:szCs w:val="24"/>
              </w:rPr>
            </w:pPr>
            <w:r w:rsidRPr="006F323A">
              <w:rPr>
                <w:rFonts w:eastAsia="Times New Roman"/>
                <w:sz w:val="24"/>
                <w:szCs w:val="24"/>
              </w:rPr>
              <w:t>Dài khoảng 950m</w:t>
            </w:r>
          </w:p>
        </w:tc>
        <w:tc>
          <w:tcPr>
            <w:tcW w:w="429" w:type="pct"/>
          </w:tcPr>
          <w:p w14:paraId="1FEA9420" w14:textId="77777777" w:rsidR="006F323A" w:rsidRPr="006F323A" w:rsidRDefault="006F323A" w:rsidP="006F323A">
            <w:pPr>
              <w:spacing w:before="60" w:after="60"/>
              <w:jc w:val="center"/>
              <w:rPr>
                <w:sz w:val="24"/>
                <w:szCs w:val="24"/>
              </w:rPr>
            </w:pPr>
            <w:r w:rsidRPr="006F323A">
              <w:rPr>
                <w:rFonts w:eastAsia="Times New Roman"/>
                <w:sz w:val="24"/>
                <w:szCs w:val="24"/>
              </w:rPr>
              <w:t>100</w:t>
            </w:r>
          </w:p>
        </w:tc>
        <w:tc>
          <w:tcPr>
            <w:tcW w:w="429" w:type="pct"/>
          </w:tcPr>
          <w:p w14:paraId="0541432E" w14:textId="77777777" w:rsidR="006F323A" w:rsidRPr="006F323A" w:rsidRDefault="006F323A" w:rsidP="006F323A">
            <w:pPr>
              <w:spacing w:before="60" w:after="60"/>
              <w:rPr>
                <w:sz w:val="24"/>
                <w:szCs w:val="24"/>
              </w:rPr>
            </w:pPr>
            <w:r w:rsidRPr="006F323A">
              <w:rPr>
                <w:sz w:val="24"/>
                <w:szCs w:val="24"/>
              </w:rPr>
              <w:t>2021-2025</w:t>
            </w:r>
          </w:p>
        </w:tc>
        <w:tc>
          <w:tcPr>
            <w:tcW w:w="370" w:type="pct"/>
          </w:tcPr>
          <w:p w14:paraId="33BAEDFD" w14:textId="77777777" w:rsidR="006F323A" w:rsidRPr="006F323A" w:rsidRDefault="006F323A" w:rsidP="006F323A">
            <w:pPr>
              <w:spacing w:before="60" w:after="60"/>
              <w:jc w:val="center"/>
              <w:rPr>
                <w:sz w:val="24"/>
                <w:szCs w:val="24"/>
              </w:rPr>
            </w:pPr>
            <w:r w:rsidRPr="006F323A">
              <w:rPr>
                <w:sz w:val="24"/>
                <w:szCs w:val="24"/>
              </w:rPr>
              <w:t>100</w:t>
            </w:r>
          </w:p>
        </w:tc>
        <w:tc>
          <w:tcPr>
            <w:tcW w:w="455" w:type="pct"/>
          </w:tcPr>
          <w:p w14:paraId="2548D82E" w14:textId="77777777" w:rsidR="006F323A" w:rsidRPr="006F323A" w:rsidRDefault="006F323A" w:rsidP="006F323A">
            <w:pPr>
              <w:spacing w:before="60" w:after="60"/>
              <w:jc w:val="center"/>
              <w:rPr>
                <w:sz w:val="24"/>
                <w:szCs w:val="24"/>
              </w:rPr>
            </w:pPr>
            <w:r w:rsidRPr="006F323A">
              <w:rPr>
                <w:sz w:val="24"/>
                <w:szCs w:val="24"/>
              </w:rPr>
              <w:t>-</w:t>
            </w:r>
          </w:p>
        </w:tc>
        <w:tc>
          <w:tcPr>
            <w:tcW w:w="363" w:type="pct"/>
          </w:tcPr>
          <w:p w14:paraId="769A2B4F" w14:textId="77777777" w:rsidR="006F323A" w:rsidRPr="006F323A" w:rsidRDefault="006F323A" w:rsidP="006F323A">
            <w:pPr>
              <w:spacing w:before="60" w:after="60"/>
              <w:jc w:val="center"/>
              <w:rPr>
                <w:sz w:val="24"/>
                <w:szCs w:val="24"/>
              </w:rPr>
            </w:pPr>
            <w:r w:rsidRPr="006F323A">
              <w:rPr>
                <w:sz w:val="24"/>
                <w:szCs w:val="24"/>
              </w:rPr>
              <w:t>Đầu tư công (đã bố trí vốn)</w:t>
            </w:r>
          </w:p>
        </w:tc>
      </w:tr>
      <w:tr w:rsidR="006F323A" w:rsidRPr="006F323A" w14:paraId="4E740745" w14:textId="77777777" w:rsidTr="00EC2A36">
        <w:tc>
          <w:tcPr>
            <w:tcW w:w="259" w:type="pct"/>
          </w:tcPr>
          <w:p w14:paraId="79B91406" w14:textId="525B1EDD" w:rsidR="006F323A" w:rsidRPr="006F323A" w:rsidRDefault="00AF4A44" w:rsidP="006F323A">
            <w:pPr>
              <w:spacing w:before="60" w:after="60"/>
              <w:jc w:val="center"/>
              <w:rPr>
                <w:bCs/>
                <w:sz w:val="24"/>
                <w:szCs w:val="24"/>
              </w:rPr>
            </w:pPr>
            <w:r>
              <w:rPr>
                <w:bCs/>
                <w:sz w:val="24"/>
                <w:szCs w:val="24"/>
              </w:rPr>
              <w:t>3</w:t>
            </w:r>
          </w:p>
        </w:tc>
        <w:tc>
          <w:tcPr>
            <w:tcW w:w="779" w:type="pct"/>
          </w:tcPr>
          <w:p w14:paraId="4C4233F9" w14:textId="77777777" w:rsidR="006F323A" w:rsidRPr="006F323A" w:rsidRDefault="006F323A" w:rsidP="006F323A">
            <w:pPr>
              <w:spacing w:before="60" w:after="60"/>
              <w:jc w:val="both"/>
              <w:rPr>
                <w:sz w:val="24"/>
                <w:szCs w:val="24"/>
              </w:rPr>
            </w:pPr>
            <w:r w:rsidRPr="006F323A">
              <w:rPr>
                <w:sz w:val="24"/>
                <w:szCs w:val="24"/>
              </w:rPr>
              <w:t xml:space="preserve">Kè chống sạt lở kênh </w:t>
            </w:r>
            <w:proofErr w:type="spellStart"/>
            <w:r w:rsidRPr="006F323A">
              <w:rPr>
                <w:sz w:val="24"/>
                <w:szCs w:val="24"/>
              </w:rPr>
              <w:t>xáng</w:t>
            </w:r>
            <w:proofErr w:type="spellEnd"/>
            <w:r w:rsidRPr="006F323A">
              <w:rPr>
                <w:sz w:val="24"/>
                <w:szCs w:val="24"/>
              </w:rPr>
              <w:t xml:space="preserve"> Xà No giai đoạn 3</w:t>
            </w:r>
          </w:p>
        </w:tc>
        <w:tc>
          <w:tcPr>
            <w:tcW w:w="638" w:type="pct"/>
          </w:tcPr>
          <w:p w14:paraId="22D0B2CC" w14:textId="77777777" w:rsidR="006F323A" w:rsidRPr="006F323A" w:rsidRDefault="006F323A" w:rsidP="006F323A">
            <w:pPr>
              <w:spacing w:before="60" w:after="60"/>
              <w:jc w:val="center"/>
              <w:rPr>
                <w:sz w:val="24"/>
                <w:szCs w:val="24"/>
              </w:rPr>
            </w:pPr>
            <w:r w:rsidRPr="006F323A">
              <w:rPr>
                <w:sz w:val="24"/>
                <w:szCs w:val="24"/>
              </w:rPr>
              <w:t>Huyện Châu Thành A</w:t>
            </w:r>
          </w:p>
        </w:tc>
        <w:tc>
          <w:tcPr>
            <w:tcW w:w="1278" w:type="pct"/>
          </w:tcPr>
          <w:p w14:paraId="3B67FFB2" w14:textId="77777777" w:rsidR="006F323A" w:rsidRPr="006F323A" w:rsidRDefault="006F323A" w:rsidP="006F323A">
            <w:pPr>
              <w:spacing w:before="60" w:after="60"/>
              <w:jc w:val="both"/>
              <w:rPr>
                <w:sz w:val="24"/>
                <w:szCs w:val="24"/>
              </w:rPr>
            </w:pPr>
            <w:r w:rsidRPr="006F323A">
              <w:rPr>
                <w:sz w:val="24"/>
                <w:szCs w:val="24"/>
              </w:rPr>
              <w:t>Dài khoảng 2.000 m</w:t>
            </w:r>
          </w:p>
        </w:tc>
        <w:tc>
          <w:tcPr>
            <w:tcW w:w="429" w:type="pct"/>
          </w:tcPr>
          <w:p w14:paraId="1FC9235C" w14:textId="77777777" w:rsidR="006F323A" w:rsidRPr="006F323A" w:rsidRDefault="006F323A" w:rsidP="006F323A">
            <w:pPr>
              <w:spacing w:before="60" w:after="60"/>
              <w:jc w:val="center"/>
              <w:rPr>
                <w:sz w:val="24"/>
                <w:szCs w:val="24"/>
              </w:rPr>
            </w:pPr>
            <w:r w:rsidRPr="006F323A">
              <w:rPr>
                <w:sz w:val="24"/>
                <w:szCs w:val="24"/>
              </w:rPr>
              <w:t>200</w:t>
            </w:r>
          </w:p>
        </w:tc>
        <w:tc>
          <w:tcPr>
            <w:tcW w:w="429" w:type="pct"/>
          </w:tcPr>
          <w:p w14:paraId="025E5625" w14:textId="77777777" w:rsidR="006F323A" w:rsidRPr="006F323A" w:rsidRDefault="006F323A" w:rsidP="006F323A">
            <w:pPr>
              <w:spacing w:before="60" w:after="60"/>
              <w:rPr>
                <w:sz w:val="24"/>
                <w:szCs w:val="24"/>
              </w:rPr>
            </w:pPr>
            <w:r w:rsidRPr="006F323A">
              <w:rPr>
                <w:sz w:val="24"/>
                <w:szCs w:val="24"/>
              </w:rPr>
              <w:t>2021-2025</w:t>
            </w:r>
          </w:p>
        </w:tc>
        <w:tc>
          <w:tcPr>
            <w:tcW w:w="370" w:type="pct"/>
          </w:tcPr>
          <w:p w14:paraId="781B751F" w14:textId="77777777" w:rsidR="006F323A" w:rsidRPr="006F323A" w:rsidRDefault="006F323A" w:rsidP="006F323A">
            <w:pPr>
              <w:spacing w:before="60" w:after="60"/>
              <w:jc w:val="center"/>
              <w:rPr>
                <w:sz w:val="24"/>
                <w:szCs w:val="24"/>
              </w:rPr>
            </w:pPr>
            <w:r w:rsidRPr="006F323A">
              <w:rPr>
                <w:sz w:val="24"/>
                <w:szCs w:val="24"/>
              </w:rPr>
              <w:t>200</w:t>
            </w:r>
          </w:p>
        </w:tc>
        <w:tc>
          <w:tcPr>
            <w:tcW w:w="455" w:type="pct"/>
          </w:tcPr>
          <w:p w14:paraId="5069227F" w14:textId="77777777" w:rsidR="006F323A" w:rsidRPr="006F323A" w:rsidRDefault="006F323A" w:rsidP="006F323A">
            <w:pPr>
              <w:spacing w:before="60" w:after="60"/>
              <w:jc w:val="center"/>
              <w:rPr>
                <w:sz w:val="24"/>
                <w:szCs w:val="24"/>
              </w:rPr>
            </w:pPr>
            <w:r w:rsidRPr="006F323A">
              <w:rPr>
                <w:sz w:val="24"/>
                <w:szCs w:val="24"/>
              </w:rPr>
              <w:t>-</w:t>
            </w:r>
          </w:p>
        </w:tc>
        <w:tc>
          <w:tcPr>
            <w:tcW w:w="363" w:type="pct"/>
          </w:tcPr>
          <w:p w14:paraId="6C5D32D5" w14:textId="77777777" w:rsidR="006F323A" w:rsidRPr="006F323A" w:rsidRDefault="006F323A" w:rsidP="006F323A">
            <w:pPr>
              <w:spacing w:before="60" w:after="60"/>
              <w:jc w:val="center"/>
              <w:rPr>
                <w:sz w:val="24"/>
                <w:szCs w:val="24"/>
              </w:rPr>
            </w:pPr>
            <w:r w:rsidRPr="006F323A">
              <w:rPr>
                <w:sz w:val="24"/>
                <w:szCs w:val="24"/>
              </w:rPr>
              <w:t>Đầu tư công (đã bố trí vốn)</w:t>
            </w:r>
          </w:p>
        </w:tc>
      </w:tr>
      <w:tr w:rsidR="006F323A" w:rsidRPr="006F323A" w14:paraId="635FB80F" w14:textId="77777777" w:rsidTr="00EC2A36">
        <w:tc>
          <w:tcPr>
            <w:tcW w:w="259" w:type="pct"/>
          </w:tcPr>
          <w:p w14:paraId="2B82953D" w14:textId="503BC3AD" w:rsidR="006F323A" w:rsidRPr="006F323A" w:rsidRDefault="00AF4A44" w:rsidP="006F323A">
            <w:pPr>
              <w:spacing w:before="60" w:after="60"/>
              <w:jc w:val="center"/>
              <w:rPr>
                <w:rFonts w:eastAsia="Times New Roman"/>
                <w:sz w:val="24"/>
                <w:szCs w:val="24"/>
              </w:rPr>
            </w:pPr>
            <w:r>
              <w:rPr>
                <w:rFonts w:eastAsia="Times New Roman"/>
                <w:sz w:val="24"/>
                <w:szCs w:val="24"/>
              </w:rPr>
              <w:lastRenderedPageBreak/>
              <w:t>4</w:t>
            </w:r>
          </w:p>
        </w:tc>
        <w:tc>
          <w:tcPr>
            <w:tcW w:w="779" w:type="pct"/>
          </w:tcPr>
          <w:p w14:paraId="4BA416D5" w14:textId="77777777" w:rsidR="006F323A" w:rsidRPr="006F323A" w:rsidRDefault="006F323A" w:rsidP="006F323A">
            <w:pPr>
              <w:spacing w:before="60" w:after="60"/>
              <w:jc w:val="both"/>
              <w:rPr>
                <w:rFonts w:eastAsia="Times New Roman"/>
                <w:sz w:val="24"/>
                <w:szCs w:val="24"/>
              </w:rPr>
            </w:pPr>
            <w:r w:rsidRPr="006F323A">
              <w:rPr>
                <w:sz w:val="24"/>
                <w:szCs w:val="24"/>
              </w:rPr>
              <w:t xml:space="preserve">Dự án nạo vét kênh trục tỉnh Hậu Giang </w:t>
            </w:r>
          </w:p>
        </w:tc>
        <w:tc>
          <w:tcPr>
            <w:tcW w:w="638" w:type="pct"/>
          </w:tcPr>
          <w:p w14:paraId="710CC2C4" w14:textId="77777777" w:rsidR="006F323A" w:rsidRPr="006F323A" w:rsidRDefault="006F323A" w:rsidP="006F323A">
            <w:pPr>
              <w:spacing w:before="60" w:after="60"/>
              <w:jc w:val="center"/>
              <w:rPr>
                <w:rFonts w:eastAsia="Times New Roman"/>
                <w:sz w:val="24"/>
                <w:szCs w:val="24"/>
              </w:rPr>
            </w:pPr>
            <w:r w:rsidRPr="006F323A">
              <w:rPr>
                <w:sz w:val="24"/>
                <w:szCs w:val="24"/>
              </w:rPr>
              <w:t xml:space="preserve">Huyện Phụng Hiệp, Vị Thủy, Long </w:t>
            </w:r>
            <w:proofErr w:type="spellStart"/>
            <w:r w:rsidRPr="006F323A">
              <w:rPr>
                <w:sz w:val="24"/>
                <w:szCs w:val="24"/>
              </w:rPr>
              <w:t>Mỹ</w:t>
            </w:r>
            <w:proofErr w:type="spellEnd"/>
          </w:p>
        </w:tc>
        <w:tc>
          <w:tcPr>
            <w:tcW w:w="1278" w:type="pct"/>
          </w:tcPr>
          <w:p w14:paraId="1198CDCB" w14:textId="77777777" w:rsidR="006F323A" w:rsidRPr="006F323A" w:rsidRDefault="006F323A" w:rsidP="006F323A">
            <w:pPr>
              <w:spacing w:before="60" w:after="60"/>
              <w:jc w:val="both"/>
              <w:rPr>
                <w:rFonts w:eastAsia="Times New Roman"/>
                <w:sz w:val="24"/>
                <w:szCs w:val="24"/>
              </w:rPr>
            </w:pPr>
            <w:r w:rsidRPr="006F323A">
              <w:rPr>
                <w:rFonts w:eastAsia="Times New Roman"/>
                <w:sz w:val="24"/>
                <w:szCs w:val="24"/>
              </w:rPr>
              <w:t xml:space="preserve">- Nạo vét kênh Nàng Mau 2 với chiều dài khoảng 28km; </w:t>
            </w:r>
          </w:p>
          <w:p w14:paraId="2E1BB080" w14:textId="77777777" w:rsidR="006F323A" w:rsidRPr="006F323A" w:rsidRDefault="006F323A" w:rsidP="006F323A">
            <w:pPr>
              <w:spacing w:before="60" w:after="60"/>
              <w:jc w:val="both"/>
              <w:rPr>
                <w:rFonts w:eastAsia="Times New Roman"/>
                <w:sz w:val="24"/>
                <w:szCs w:val="24"/>
              </w:rPr>
            </w:pPr>
            <w:r w:rsidRPr="006F323A">
              <w:rPr>
                <w:rFonts w:eastAsia="Times New Roman"/>
                <w:sz w:val="24"/>
                <w:szCs w:val="24"/>
              </w:rPr>
              <w:t xml:space="preserve">- Nạo vét kênh Hậu Giang 3 với chiều dài khoảng 43,6km </w:t>
            </w:r>
          </w:p>
        </w:tc>
        <w:tc>
          <w:tcPr>
            <w:tcW w:w="429" w:type="pct"/>
          </w:tcPr>
          <w:p w14:paraId="774EEA79" w14:textId="77777777" w:rsidR="006F323A" w:rsidRPr="006F323A" w:rsidRDefault="006F323A" w:rsidP="006F323A">
            <w:pPr>
              <w:spacing w:before="60" w:after="60"/>
              <w:jc w:val="center"/>
              <w:rPr>
                <w:rFonts w:eastAsia="Times New Roman"/>
                <w:sz w:val="24"/>
                <w:szCs w:val="24"/>
              </w:rPr>
            </w:pPr>
            <w:r w:rsidRPr="006F323A">
              <w:rPr>
                <w:sz w:val="24"/>
                <w:szCs w:val="24"/>
              </w:rPr>
              <w:t>320</w:t>
            </w:r>
          </w:p>
        </w:tc>
        <w:tc>
          <w:tcPr>
            <w:tcW w:w="429" w:type="pct"/>
          </w:tcPr>
          <w:p w14:paraId="29862B34" w14:textId="77777777" w:rsidR="006F323A" w:rsidRPr="006F323A" w:rsidRDefault="006F323A" w:rsidP="006F323A">
            <w:pPr>
              <w:spacing w:before="60" w:after="60"/>
              <w:rPr>
                <w:sz w:val="24"/>
                <w:szCs w:val="24"/>
              </w:rPr>
            </w:pPr>
            <w:r w:rsidRPr="006F323A">
              <w:rPr>
                <w:sz w:val="24"/>
                <w:szCs w:val="24"/>
              </w:rPr>
              <w:t>2021-2025</w:t>
            </w:r>
          </w:p>
        </w:tc>
        <w:tc>
          <w:tcPr>
            <w:tcW w:w="370" w:type="pct"/>
          </w:tcPr>
          <w:p w14:paraId="1B343E7D" w14:textId="77777777" w:rsidR="006F323A" w:rsidRPr="006F323A" w:rsidRDefault="006F323A" w:rsidP="006F323A">
            <w:pPr>
              <w:spacing w:before="60" w:after="60"/>
              <w:jc w:val="center"/>
              <w:rPr>
                <w:sz w:val="24"/>
                <w:szCs w:val="24"/>
              </w:rPr>
            </w:pPr>
            <w:r w:rsidRPr="006F323A">
              <w:rPr>
                <w:sz w:val="24"/>
                <w:szCs w:val="24"/>
              </w:rPr>
              <w:t>320</w:t>
            </w:r>
          </w:p>
        </w:tc>
        <w:tc>
          <w:tcPr>
            <w:tcW w:w="455" w:type="pct"/>
          </w:tcPr>
          <w:p w14:paraId="3E4DF7A9" w14:textId="77777777" w:rsidR="006F323A" w:rsidRPr="006F323A" w:rsidRDefault="006F323A" w:rsidP="006F323A">
            <w:pPr>
              <w:spacing w:before="60" w:after="60"/>
              <w:jc w:val="center"/>
              <w:rPr>
                <w:sz w:val="24"/>
                <w:szCs w:val="24"/>
              </w:rPr>
            </w:pPr>
            <w:r w:rsidRPr="006F323A">
              <w:rPr>
                <w:sz w:val="24"/>
                <w:szCs w:val="24"/>
              </w:rPr>
              <w:t>-</w:t>
            </w:r>
          </w:p>
        </w:tc>
        <w:tc>
          <w:tcPr>
            <w:tcW w:w="363" w:type="pct"/>
          </w:tcPr>
          <w:p w14:paraId="5022D55A" w14:textId="77777777" w:rsidR="006F323A" w:rsidRPr="006F323A" w:rsidRDefault="006F323A" w:rsidP="006F323A">
            <w:pPr>
              <w:spacing w:before="60" w:after="60"/>
              <w:jc w:val="center"/>
              <w:rPr>
                <w:rFonts w:eastAsia="Times New Roman"/>
                <w:sz w:val="24"/>
                <w:szCs w:val="24"/>
              </w:rPr>
            </w:pPr>
            <w:r w:rsidRPr="006F323A">
              <w:rPr>
                <w:sz w:val="24"/>
                <w:szCs w:val="24"/>
              </w:rPr>
              <w:t>Đầu tư công (đã bố trí vốn)</w:t>
            </w:r>
          </w:p>
        </w:tc>
      </w:tr>
      <w:tr w:rsidR="006F323A" w:rsidRPr="006F323A" w14:paraId="2E75A91A" w14:textId="77777777" w:rsidTr="00EC2A36">
        <w:tc>
          <w:tcPr>
            <w:tcW w:w="259" w:type="pct"/>
          </w:tcPr>
          <w:p w14:paraId="34B0CEAC" w14:textId="447C5560" w:rsidR="006F323A" w:rsidRPr="006F323A" w:rsidRDefault="00AF4A44" w:rsidP="006F323A">
            <w:pPr>
              <w:spacing w:before="60" w:after="60"/>
              <w:jc w:val="center"/>
              <w:rPr>
                <w:rFonts w:eastAsia="Times New Roman"/>
                <w:sz w:val="24"/>
                <w:szCs w:val="24"/>
              </w:rPr>
            </w:pPr>
            <w:r>
              <w:rPr>
                <w:rFonts w:eastAsia="Times New Roman"/>
                <w:sz w:val="24"/>
                <w:szCs w:val="24"/>
              </w:rPr>
              <w:t>5</w:t>
            </w:r>
          </w:p>
        </w:tc>
        <w:tc>
          <w:tcPr>
            <w:tcW w:w="779" w:type="pct"/>
          </w:tcPr>
          <w:p w14:paraId="7DF57E6A" w14:textId="77777777" w:rsidR="006F323A" w:rsidRPr="006F323A" w:rsidRDefault="006F323A" w:rsidP="006F323A">
            <w:pPr>
              <w:spacing w:before="60" w:after="60"/>
              <w:jc w:val="both"/>
              <w:rPr>
                <w:rFonts w:eastAsia="Times New Roman"/>
                <w:sz w:val="24"/>
                <w:szCs w:val="24"/>
              </w:rPr>
            </w:pPr>
            <w:r w:rsidRPr="006F323A">
              <w:rPr>
                <w:sz w:val="24"/>
                <w:szCs w:val="24"/>
              </w:rPr>
              <w:t xml:space="preserve">Xây dựng hệ thống ô bao lớn kiểm soát mặn vùng triều biển Đông Phụng Hiệp - Long </w:t>
            </w:r>
            <w:proofErr w:type="spellStart"/>
            <w:r w:rsidRPr="006F323A">
              <w:rPr>
                <w:sz w:val="24"/>
                <w:szCs w:val="24"/>
              </w:rPr>
              <w:t>Mỹ</w:t>
            </w:r>
            <w:proofErr w:type="spellEnd"/>
            <w:r w:rsidRPr="006F323A">
              <w:rPr>
                <w:sz w:val="24"/>
                <w:szCs w:val="24"/>
              </w:rPr>
              <w:t xml:space="preserve"> tỉnh Hậu Giang</w:t>
            </w:r>
          </w:p>
        </w:tc>
        <w:tc>
          <w:tcPr>
            <w:tcW w:w="638" w:type="pct"/>
          </w:tcPr>
          <w:p w14:paraId="4DFF91DB" w14:textId="77777777" w:rsidR="006F323A" w:rsidRPr="006F323A" w:rsidRDefault="006F323A" w:rsidP="006F323A">
            <w:pPr>
              <w:spacing w:before="60" w:after="60"/>
              <w:jc w:val="center"/>
              <w:rPr>
                <w:rFonts w:eastAsia="Times New Roman"/>
                <w:sz w:val="24"/>
                <w:szCs w:val="24"/>
              </w:rPr>
            </w:pPr>
            <w:r w:rsidRPr="006F323A">
              <w:rPr>
                <w:sz w:val="24"/>
                <w:szCs w:val="24"/>
              </w:rPr>
              <w:t xml:space="preserve">Huyện Phụng Hiệp, thị xã Long </w:t>
            </w:r>
            <w:proofErr w:type="spellStart"/>
            <w:r w:rsidRPr="006F323A">
              <w:rPr>
                <w:sz w:val="24"/>
                <w:szCs w:val="24"/>
              </w:rPr>
              <w:t>Mỹ</w:t>
            </w:r>
            <w:proofErr w:type="spellEnd"/>
          </w:p>
        </w:tc>
        <w:tc>
          <w:tcPr>
            <w:tcW w:w="1278" w:type="pct"/>
          </w:tcPr>
          <w:p w14:paraId="608B6762" w14:textId="77777777" w:rsidR="006F323A" w:rsidRPr="006F323A" w:rsidRDefault="006F323A" w:rsidP="006F323A">
            <w:pPr>
              <w:spacing w:before="60" w:after="60"/>
              <w:jc w:val="both"/>
              <w:rPr>
                <w:rFonts w:eastAsia="Times New Roman"/>
                <w:sz w:val="24"/>
                <w:szCs w:val="24"/>
              </w:rPr>
            </w:pPr>
            <w:r w:rsidRPr="006F323A">
              <w:rPr>
                <w:sz w:val="24"/>
                <w:szCs w:val="24"/>
              </w:rPr>
              <w:t xml:space="preserve">Nâng cấp, cải tạo tuyến bờ bao (đoạn phía Nam Kênh Hậu Giang 3 và đoạn phía Tây Kênh Ngang) với tổng chiều dài khoảng 30km </w:t>
            </w:r>
          </w:p>
        </w:tc>
        <w:tc>
          <w:tcPr>
            <w:tcW w:w="429" w:type="pct"/>
          </w:tcPr>
          <w:p w14:paraId="5F09F8DC" w14:textId="77777777" w:rsidR="006F323A" w:rsidRPr="006F323A" w:rsidRDefault="006F323A" w:rsidP="006F323A">
            <w:pPr>
              <w:spacing w:before="60" w:after="60"/>
              <w:jc w:val="center"/>
              <w:rPr>
                <w:rFonts w:eastAsia="Times New Roman"/>
                <w:sz w:val="24"/>
                <w:szCs w:val="24"/>
              </w:rPr>
            </w:pPr>
            <w:r w:rsidRPr="006F323A">
              <w:rPr>
                <w:sz w:val="24"/>
                <w:szCs w:val="24"/>
              </w:rPr>
              <w:t>300</w:t>
            </w:r>
          </w:p>
        </w:tc>
        <w:tc>
          <w:tcPr>
            <w:tcW w:w="429" w:type="pct"/>
          </w:tcPr>
          <w:p w14:paraId="1C9CFD18" w14:textId="77777777" w:rsidR="006F323A" w:rsidRPr="006F323A" w:rsidRDefault="006F323A" w:rsidP="006F323A">
            <w:pPr>
              <w:spacing w:before="60" w:after="60"/>
              <w:rPr>
                <w:sz w:val="24"/>
                <w:szCs w:val="24"/>
              </w:rPr>
            </w:pPr>
            <w:r w:rsidRPr="006F323A">
              <w:rPr>
                <w:sz w:val="24"/>
                <w:szCs w:val="24"/>
              </w:rPr>
              <w:t>2021-2025</w:t>
            </w:r>
          </w:p>
        </w:tc>
        <w:tc>
          <w:tcPr>
            <w:tcW w:w="370" w:type="pct"/>
          </w:tcPr>
          <w:p w14:paraId="4DA64E25" w14:textId="77777777" w:rsidR="006F323A" w:rsidRPr="006F323A" w:rsidRDefault="006F323A" w:rsidP="006F323A">
            <w:pPr>
              <w:spacing w:before="60" w:after="60"/>
              <w:jc w:val="center"/>
              <w:rPr>
                <w:sz w:val="24"/>
                <w:szCs w:val="24"/>
              </w:rPr>
            </w:pPr>
            <w:r w:rsidRPr="006F323A">
              <w:rPr>
                <w:sz w:val="24"/>
                <w:szCs w:val="24"/>
              </w:rPr>
              <w:t>300</w:t>
            </w:r>
          </w:p>
        </w:tc>
        <w:tc>
          <w:tcPr>
            <w:tcW w:w="455" w:type="pct"/>
          </w:tcPr>
          <w:p w14:paraId="0010C5C6" w14:textId="77777777" w:rsidR="006F323A" w:rsidRPr="006F323A" w:rsidRDefault="006F323A" w:rsidP="006F323A">
            <w:pPr>
              <w:spacing w:before="60" w:after="60"/>
              <w:jc w:val="center"/>
              <w:rPr>
                <w:sz w:val="24"/>
                <w:szCs w:val="24"/>
              </w:rPr>
            </w:pPr>
            <w:r w:rsidRPr="006F323A">
              <w:rPr>
                <w:sz w:val="24"/>
                <w:szCs w:val="24"/>
              </w:rPr>
              <w:t>-</w:t>
            </w:r>
          </w:p>
        </w:tc>
        <w:tc>
          <w:tcPr>
            <w:tcW w:w="363" w:type="pct"/>
          </w:tcPr>
          <w:p w14:paraId="1E7FF8BA" w14:textId="77777777" w:rsidR="006F323A" w:rsidRPr="006F323A" w:rsidRDefault="006F323A" w:rsidP="006F323A">
            <w:pPr>
              <w:spacing w:before="60" w:after="60"/>
              <w:jc w:val="center"/>
              <w:rPr>
                <w:rFonts w:eastAsia="Times New Roman"/>
                <w:sz w:val="24"/>
                <w:szCs w:val="24"/>
              </w:rPr>
            </w:pPr>
            <w:r w:rsidRPr="006F323A">
              <w:rPr>
                <w:sz w:val="24"/>
                <w:szCs w:val="24"/>
              </w:rPr>
              <w:t>Đầu tư công (đã bố trí vốn)</w:t>
            </w:r>
          </w:p>
        </w:tc>
      </w:tr>
    </w:tbl>
    <w:p w14:paraId="7E12AF3D" w14:textId="77777777" w:rsidR="004B5BD4" w:rsidRPr="00261BBF" w:rsidRDefault="004B5BD4" w:rsidP="004B5BD4">
      <w:pPr>
        <w:pStyle w:val="oancuaDanhsach"/>
        <w:tabs>
          <w:tab w:val="center" w:pos="7285"/>
          <w:tab w:val="right" w:pos="14570"/>
        </w:tabs>
        <w:ind w:left="3420" w:right="-567"/>
        <w:rPr>
          <w:i/>
          <w:sz w:val="26"/>
          <w:szCs w:val="26"/>
        </w:rPr>
      </w:pPr>
      <w:r w:rsidRPr="00267625">
        <w:rPr>
          <w:b/>
          <w:szCs w:val="28"/>
        </w:rPr>
        <w:tab/>
      </w:r>
    </w:p>
    <w:p w14:paraId="2DD9C2E7" w14:textId="77777777" w:rsidR="002B4D73" w:rsidRDefault="002B4D73"/>
    <w:sectPr w:rsidR="002B4D73" w:rsidSect="00AF4A44">
      <w:headerReference w:type="default" r:id="rId6"/>
      <w:pgSz w:w="15840" w:h="12240" w:orient="landscape"/>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1C56" w14:textId="77777777" w:rsidR="00C061A2" w:rsidRDefault="00C061A2" w:rsidP="00F049EF">
      <w:pPr>
        <w:spacing w:after="0" w:line="240" w:lineRule="auto"/>
      </w:pPr>
      <w:r>
        <w:separator/>
      </w:r>
    </w:p>
  </w:endnote>
  <w:endnote w:type="continuationSeparator" w:id="0">
    <w:p w14:paraId="6151EF2E" w14:textId="77777777" w:rsidR="00C061A2" w:rsidRDefault="00C061A2" w:rsidP="00F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032B3" w14:textId="77777777" w:rsidR="00C061A2" w:rsidRDefault="00C061A2" w:rsidP="00F049EF">
      <w:pPr>
        <w:spacing w:after="0" w:line="240" w:lineRule="auto"/>
      </w:pPr>
      <w:r>
        <w:separator/>
      </w:r>
    </w:p>
  </w:footnote>
  <w:footnote w:type="continuationSeparator" w:id="0">
    <w:p w14:paraId="02ECEB24" w14:textId="77777777" w:rsidR="00C061A2" w:rsidRDefault="00C061A2" w:rsidP="00F0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627327"/>
      <w:docPartObj>
        <w:docPartGallery w:val="Page Numbers (Top of Page)"/>
        <w:docPartUnique/>
      </w:docPartObj>
    </w:sdtPr>
    <w:sdtContent>
      <w:p w14:paraId="25302966" w14:textId="75611DB6" w:rsidR="00AF4A44" w:rsidRDefault="00AF4A44">
        <w:pPr>
          <w:pStyle w:val="utrang"/>
          <w:jc w:val="center"/>
        </w:pPr>
        <w:r>
          <w:fldChar w:fldCharType="begin"/>
        </w:r>
        <w:r>
          <w:instrText>PAGE   \* MERGEFORMAT</w:instrText>
        </w:r>
        <w:r>
          <w:fldChar w:fldCharType="separate"/>
        </w:r>
        <w:r>
          <w:rPr>
            <w:lang w:val="vi-VN"/>
          </w:rPr>
          <w:t>2</w:t>
        </w:r>
        <w:r>
          <w:fldChar w:fldCharType="end"/>
        </w:r>
      </w:p>
    </w:sdtContent>
  </w:sdt>
  <w:p w14:paraId="0E994C87" w14:textId="77777777" w:rsidR="00AF4A44" w:rsidRDefault="00AF4A44">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D4"/>
    <w:rsid w:val="00125375"/>
    <w:rsid w:val="002B4D73"/>
    <w:rsid w:val="003E4740"/>
    <w:rsid w:val="004829F5"/>
    <w:rsid w:val="004B5BD4"/>
    <w:rsid w:val="006F323A"/>
    <w:rsid w:val="00837A06"/>
    <w:rsid w:val="00895A29"/>
    <w:rsid w:val="00AB3C4D"/>
    <w:rsid w:val="00AF4A44"/>
    <w:rsid w:val="00C061A2"/>
    <w:rsid w:val="00CF7518"/>
    <w:rsid w:val="00EC2A36"/>
    <w:rsid w:val="00F049EF"/>
    <w:rsid w:val="00F0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6479"/>
  <w15:chartTrackingRefBased/>
  <w15:docId w15:val="{A19A7F30-4DA8-4A55-BC07-7FCD40FE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B5BD4"/>
    <w:rPr>
      <w:rFonts w:ascii="Times New Roman" w:eastAsia="Calibri"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 (numbered (a)),List Paragraph 1,List A,Cấp1,bullet,Bullet L1,bullet 1,lp1,List Paragraph2,Cham dau dong,Cap 4,Num Bullet 1,Bullet Number,Bullet List,FooterText,numbered,Paragraphe de liste1,列出段落,列出段落1,リスト段落1,CAP 2"/>
    <w:basedOn w:val="Binhthng"/>
    <w:link w:val="oancuaDanhsachChar"/>
    <w:uiPriority w:val="34"/>
    <w:qFormat/>
    <w:rsid w:val="004B5BD4"/>
    <w:pPr>
      <w:ind w:left="720" w:firstLine="340"/>
      <w:contextualSpacing/>
    </w:pPr>
    <w:rPr>
      <w:szCs w:val="22"/>
    </w:rPr>
  </w:style>
  <w:style w:type="character" w:customStyle="1" w:styleId="oancuaDanhsachChar">
    <w:name w:val="Đoạn của Danh sách Char"/>
    <w:aliases w:val="List Paragraph (numbered (a)) Char,List Paragraph 1 Char,List A Char,Cấp1 Char,bullet Char,Bullet L1 Char,bullet 1 Char,lp1 Char,List Paragraph2 Char,Cham dau dong Char,Cap 4 Char,Num Bullet 1 Char,Bullet Number Char,列出段落 Char"/>
    <w:link w:val="oancuaDanhsach"/>
    <w:uiPriority w:val="34"/>
    <w:qFormat/>
    <w:locked/>
    <w:rsid w:val="004B5BD4"/>
    <w:rPr>
      <w:rFonts w:ascii="Times New Roman" w:eastAsia="Calibri" w:hAnsi="Times New Roman" w:cs="Times New Roman"/>
      <w:sz w:val="28"/>
    </w:rPr>
  </w:style>
  <w:style w:type="table" w:styleId="LiBang">
    <w:name w:val="Table Grid"/>
    <w:aliases w:val="unToi di lang thang lan trong bong toi buot gia,ve dau khi da mat em roi? Ve dau khi bao nhieu mo mong gio da vo tan... Ve dau toi biet di ve dau?    http://www.freewebtown.com/nhatquanglan/index.html"/>
    <w:basedOn w:val="BangThngthng"/>
    <w:uiPriority w:val="39"/>
    <w:rsid w:val="004B5B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
    <w:name w:val="Bodytex"/>
    <w:basedOn w:val="Binhthng"/>
    <w:qFormat/>
    <w:rsid w:val="004B5BD4"/>
    <w:pPr>
      <w:spacing w:before="120" w:after="0" w:line="240" w:lineRule="auto"/>
      <w:ind w:firstLine="720"/>
      <w:jc w:val="both"/>
    </w:pPr>
    <w:rPr>
      <w:rFonts w:eastAsia="Times New Roman"/>
      <w:sz w:val="26"/>
      <w:szCs w:val="26"/>
    </w:rPr>
  </w:style>
  <w:style w:type="paragraph" w:styleId="utrang">
    <w:name w:val="header"/>
    <w:basedOn w:val="Binhthng"/>
    <w:link w:val="utrangChar"/>
    <w:uiPriority w:val="99"/>
    <w:unhideWhenUsed/>
    <w:rsid w:val="00F049E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049EF"/>
    <w:rPr>
      <w:rFonts w:ascii="Times New Roman" w:eastAsia="Calibri" w:hAnsi="Times New Roman" w:cs="Times New Roman"/>
      <w:sz w:val="28"/>
      <w:szCs w:val="28"/>
    </w:rPr>
  </w:style>
  <w:style w:type="paragraph" w:styleId="Chntrang">
    <w:name w:val="footer"/>
    <w:basedOn w:val="Binhthng"/>
    <w:link w:val="ChntrangChar"/>
    <w:uiPriority w:val="99"/>
    <w:unhideWhenUsed/>
    <w:rsid w:val="00F049E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049E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1078</Characters>
  <Application>Microsoft Office Word</Application>
  <DocSecurity>0</DocSecurity>
  <Lines>8</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Thế Anh</cp:lastModifiedBy>
  <cp:revision>11</cp:revision>
  <dcterms:created xsi:type="dcterms:W3CDTF">2023-08-14T07:19:00Z</dcterms:created>
  <dcterms:modified xsi:type="dcterms:W3CDTF">2024-10-10T06:22:00Z</dcterms:modified>
</cp:coreProperties>
</file>